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70DC" w14:textId="77777777" w:rsidR="00477E98" w:rsidRPr="00DB2C2E" w:rsidRDefault="00477E98" w:rsidP="00477E98">
      <w:pPr>
        <w:spacing w:before="100" w:beforeAutospacing="1" w:after="100" w:afterAutospacing="1" w:line="240" w:lineRule="auto"/>
        <w:jc w:val="center"/>
        <w:outlineLvl w:val="0"/>
        <w:rPr>
          <w:rFonts w:ascii="Bookman Old Style" w:eastAsia="Times New Roman" w:hAnsi="Bookman Old Style" w:cs="Times New Roman"/>
          <w:b/>
          <w:bCs/>
          <w:kern w:val="36"/>
          <w:sz w:val="24"/>
          <w:szCs w:val="24"/>
          <w:lang w:eastAsia="es-CO"/>
        </w:rPr>
      </w:pPr>
      <w:r w:rsidRPr="00DB2C2E">
        <w:rPr>
          <w:rFonts w:ascii="Bookman Old Style" w:eastAsia="Times New Roman" w:hAnsi="Bookman Old Style" w:cs="Times New Roman"/>
          <w:b/>
          <w:bCs/>
          <w:kern w:val="36"/>
          <w:sz w:val="24"/>
          <w:szCs w:val="24"/>
          <w:lang w:eastAsia="es-CO"/>
        </w:rPr>
        <w:t>POLÍTICA DE DEVOLUCIÓN.</w:t>
      </w:r>
    </w:p>
    <w:p w14:paraId="17EE9180" w14:textId="77777777" w:rsidR="00477E98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64A8B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 xml:space="preserve">DROGUERIAS MALUVI 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 xml:space="preserve">EM </w:t>
      </w:r>
      <w:r w:rsidRPr="00D64A8B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>S.A.S.,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comercializa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farmacéuticos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medicamentos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bienes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perecederos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bienes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consumo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bienes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uso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personal y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tecnologías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salud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cuales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naturaleza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sus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especiales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características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calidad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condiciones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almacenamiento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están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exceptuados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para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ejercer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derecho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retracto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acuerdo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con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concepto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Superintendencia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Industria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Comercio N° 16-062808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fecha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10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marzo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2016 y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Estatuto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Consumidor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(Ley 1480 de 2011)</w:t>
      </w: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que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artículo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47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señala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:</w:t>
      </w:r>
    </w:p>
    <w:p w14:paraId="36508C6E" w14:textId="77777777" w:rsidR="00477E98" w:rsidRPr="006E2F19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El derecho de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retracto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es la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posibilidad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que se le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brinda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solicitar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devolución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totalidad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dinero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pagado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como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también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realizar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devolución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recibido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dentro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un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término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cinco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(5) días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hábiles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siguientes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la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entrega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.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Cualquier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solicitud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para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devolución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cambio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deberá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cumplir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con las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disposiciones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sanitarias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garantías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para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cuando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que se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refiere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sean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objeto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inconveniencia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sanitaria o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restricción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legal o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reglamentaria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4B2822E4" w14:textId="77777777" w:rsidR="00477E98" w:rsidRPr="00D64A8B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El derecho de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retracto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deberá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ser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solicitado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ingresando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link PQRS (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Preguntas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quejas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reclamos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sugerencias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)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ubicado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parte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inferior </w:t>
      </w:r>
      <w:proofErr w:type="spellStart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derecha</w:t>
      </w:r>
      <w:proofErr w:type="spellEnd"/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sitio Web www.</w:t>
      </w: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XXXXXXXXXXXXXXXX</w:t>
      </w:r>
      <w:r w:rsidRPr="006E2F19">
        <w:rPr>
          <w:rFonts w:ascii="Bookman Old Style" w:eastAsia="Times New Roman" w:hAnsi="Bookman Old Style" w:cs="Times New Roman"/>
          <w:sz w:val="24"/>
          <w:szCs w:val="24"/>
          <w:lang w:eastAsia="es-CO"/>
        </w:rPr>
        <w:t>.com</w:t>
      </w:r>
    </w:p>
    <w:p w14:paraId="5DCF50E1" w14:textId="77777777" w:rsidR="00477E98" w:rsidRPr="00D64A8B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‘’(...) Se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exceptúan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derecho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retracto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siguientes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casos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:</w:t>
      </w:r>
    </w:p>
    <w:p w14:paraId="755EAF96" w14:textId="77777777" w:rsidR="00477E98" w:rsidRPr="00D64A8B" w:rsidRDefault="00477E98" w:rsidP="00477E98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4. En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contratos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suministro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bienes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que,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naturaleza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no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puedan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ser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devueltos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puedan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deteriorarse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con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rapidez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4C830441" w14:textId="77777777" w:rsidR="00477E98" w:rsidRPr="00D64A8B" w:rsidRDefault="00477E98" w:rsidP="00477E98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6. En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contratos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adquisición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bienes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perecederos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594707B4" w14:textId="77777777" w:rsidR="00477E98" w:rsidRPr="00D64A8B" w:rsidRDefault="00477E98" w:rsidP="00477E98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7. En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contratos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adquisición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bienes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uso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personal. (...)’’</w:t>
      </w:r>
    </w:p>
    <w:p w14:paraId="14FF7948" w14:textId="77777777" w:rsidR="00477E98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Adicionalmente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conforme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la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Resolución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1403 de 2007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expedida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Ministerio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Protección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Social,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medio de la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cual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determina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modelo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gestión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servicio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farmacéutico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farmacéuticos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son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bienes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que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requieren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condiciones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almacenamiento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custodia,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cuales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son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esenciales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para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garantizar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conservación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calidad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las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condiciones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seguridad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establecidas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fabricante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llevando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así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una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continua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trazabilidad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mismo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. </w:t>
      </w:r>
    </w:p>
    <w:p w14:paraId="4A46C482" w14:textId="77777777" w:rsidR="00477E98" w:rsidRDefault="00477E98" w:rsidP="00477E98">
      <w:pPr>
        <w:spacing w:before="100" w:beforeAutospacing="1" w:after="100" w:afterAutospacing="1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</w:pPr>
    </w:p>
    <w:p w14:paraId="27DC806C" w14:textId="13374460" w:rsidR="00477E98" w:rsidRPr="006E2F19" w:rsidRDefault="00477E98" w:rsidP="00477E98">
      <w:pPr>
        <w:spacing w:before="100" w:beforeAutospacing="1" w:after="100" w:afterAutospacing="1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</w:pPr>
      <w:r w:rsidRPr="006E2F19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lastRenderedPageBreak/>
        <w:t>CONDICIONES GENERALES PARA UN RETRACTO</w:t>
      </w:r>
    </w:p>
    <w:p w14:paraId="51376ABA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estar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averiado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deteriorado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acciones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correspondientes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560643F3" w14:textId="77777777" w:rsidR="00477E98" w:rsidRDefault="00477E98" w:rsidP="00477E98">
      <w:pPr>
        <w:spacing w:before="100" w:beforeAutospacing="1"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1.</w:t>
      </w: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tener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etiquetas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factura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venta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accesorios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empaques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originales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(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incluyendo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manuales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guías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uso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certificados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garantía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, etc.).</w:t>
      </w:r>
    </w:p>
    <w:p w14:paraId="4969AE13" w14:textId="77777777" w:rsidR="00477E98" w:rsidRPr="00D15212" w:rsidRDefault="00477E98" w:rsidP="00477E98">
      <w:pPr>
        <w:spacing w:before="100" w:beforeAutospacing="1"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2.</w:t>
      </w: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mostrar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señales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uso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suciedad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desgaste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7647DED9" w14:textId="77777777" w:rsidR="00477E98" w:rsidRPr="00D15212" w:rsidRDefault="00477E98" w:rsidP="00477E98">
      <w:pPr>
        <w:spacing w:before="100" w:beforeAutospacing="1"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3.</w:t>
      </w: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tener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más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CINCO (5) días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hábiles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entregado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3E3D23C4" w14:textId="77777777" w:rsidR="00477E98" w:rsidRPr="00D15212" w:rsidRDefault="00477E98" w:rsidP="00477E98">
      <w:pPr>
        <w:spacing w:before="100" w:beforeAutospacing="1"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4.</w:t>
      </w: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adquirido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ser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perecedero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uso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personal 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íntimo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4A91F6A3" w14:textId="77777777" w:rsidR="00477E98" w:rsidRPr="006E2F19" w:rsidRDefault="00477E98" w:rsidP="00477E98">
      <w:pPr>
        <w:spacing w:before="100" w:beforeAutospacing="1" w:after="100" w:afterAutospacing="1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</w:pPr>
      <w:r w:rsidRPr="006E2F19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>CONDICIONES DE LOGÍSTICA DEL RETRACTO</w:t>
      </w:r>
    </w:p>
    <w:p w14:paraId="5CAF9C49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Si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ya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fue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entregado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domiciliario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aún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está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presente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momento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solicitud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retracto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deberá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entregar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domiciliario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para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devolución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580B8AE3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1.</w:t>
      </w: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Si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ya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fue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entregado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domiciliario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ya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encuentra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presente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momento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solicitud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retracto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asignara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parte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DROGUERIAS MALUVI</w:t>
      </w: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un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domiciliario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para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recoger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mercancía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devolver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una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vez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radicada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solitud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retracto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4DDC15A8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El personal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encargado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recolección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encuentra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facultado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para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desarmar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ni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manipular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única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función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será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recogerlo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0F37BD27" w14:textId="77777777" w:rsidR="00477E98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Si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encuentra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empacado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empaque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original, no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procederá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con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recolección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686042F4" w14:textId="77777777" w:rsidR="00477E98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Es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así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que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cuando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r w:rsidRPr="00D64A8B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>DROGUERIAS MALUVI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 xml:space="preserve"> EM </w:t>
      </w:r>
      <w:r w:rsidRPr="00D64A8B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>S.A.S</w:t>
      </w:r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dispensa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medicamentos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acuerdo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con lo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establecido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Manual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Gestión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Calidad, le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recuerda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paciente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mantener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almacenados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medicamentos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una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temperatura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entre 15 – 30°C,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lejos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exposición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rayos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solares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lugares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mucha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humedad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calor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como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baños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la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cocina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mantener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envases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cerrados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almacenarlos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un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lugar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diferente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gram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</w:t>
      </w:r>
      <w:proofErr w:type="gram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alimentos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aseo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. </w:t>
      </w:r>
    </w:p>
    <w:p w14:paraId="4FF576E9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lastRenderedPageBreak/>
        <w:t>Estas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condiciones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son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garantizadas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r w:rsidRPr="00D64A8B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>DROGUERIAS MALUVI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 xml:space="preserve"> EM </w:t>
      </w:r>
      <w:r w:rsidRPr="00D64A8B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>S.A.S</w:t>
      </w:r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punto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venta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físico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al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perder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custodia y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localización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no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puede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garantizar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cabal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cumplimiento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las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condiciones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calidad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seguridad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ello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menos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que se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presente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una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condición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calidad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un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requerimiento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legal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garantía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si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solución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devolución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retracto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es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mera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voluntariedad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no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será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procedente</w:t>
      </w:r>
      <w:proofErr w:type="spellEnd"/>
      <w:r w:rsidRPr="00D64A8B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16DFB48B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</w:p>
    <w:p w14:paraId="1F1E018E" w14:textId="77777777" w:rsidR="00477E98" w:rsidRPr="00D15212" w:rsidRDefault="00477E98" w:rsidP="00477E98">
      <w:pPr>
        <w:spacing w:before="100" w:beforeAutospacing="1" w:after="100" w:afterAutospacing="1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>REVERSIÓN DE PAGO</w:t>
      </w:r>
    </w:p>
    <w:p w14:paraId="5D2E5BE2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Reversión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Pago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aplica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cuando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adquisición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bienes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servicios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hubiere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realizado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través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mecanismos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comercio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electrónico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tales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como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internet, PSE, Call Center 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cualquier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otro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mecanismo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televenta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tienda virtual y, para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tal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efecto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hubiere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utilizado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tarjetas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crédito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débito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cualquier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otro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instrumento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pago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electrónico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5687C8E3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reversión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pago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solicitar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dentro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un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término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cinco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(5) días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hábiles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siguientes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entrega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323299DC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reversión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puede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presentar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cinco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causales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:</w:t>
      </w:r>
    </w:p>
    <w:p w14:paraId="5A456E41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objeto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fraude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34A38B95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Operación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solicitada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012E900D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adquirido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sea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recibido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7258E9AF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entregado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no sea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5809C9CC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Producto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defectuoso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0A8F79CB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solicitud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reversión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pago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deberá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ser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solicitada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ingresando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link PQRS (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Preguntas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quejas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reclamos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sugerencias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)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ubicado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parte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inferior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derecha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del sitio Web www.</w:t>
      </w: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xxxxxxxxxxxx</w:t>
      </w: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.com.</w:t>
      </w:r>
    </w:p>
    <w:p w14:paraId="3D401CB0" w14:textId="77777777" w:rsidR="00477E98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Una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vez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interpuesta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solicitud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esta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es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procedente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se le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emitirá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constancia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dentro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diez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(10) días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hábiles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siguientes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verificación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solicitud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5F9971C3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lastRenderedPageBreak/>
        <w:t xml:space="preserve">En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caso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que no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proceda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Reversión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Pago,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Área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Servicio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al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estará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notificando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vía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correo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electrónico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no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aceptación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solicitud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los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motivos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negativa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1CAE4046" w14:textId="77777777" w:rsidR="00477E98" w:rsidRPr="00D15212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El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cliente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debe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garantizar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información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suministrada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PQRS (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Preguntas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quejas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reclamos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sugerencias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) que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el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bien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encuentra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las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mismas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condiciones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que se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recibió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sellado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perfecto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estado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, sin usar,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empaque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original, con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todos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sus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accesorios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disposición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para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recogerlo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63E48FA0" w14:textId="77777777" w:rsidR="00477E98" w:rsidRPr="00D15212" w:rsidRDefault="00477E98" w:rsidP="00477E98">
      <w:pPr>
        <w:spacing w:before="100" w:beforeAutospacing="1" w:after="100" w:afterAutospacing="1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r w:rsidRPr="00D15212">
        <w:rPr>
          <w:rFonts w:ascii="Bookman Old Style" w:eastAsia="Times New Roman" w:hAnsi="Bookman Old Style" w:cs="Times New Roman"/>
          <w:b/>
          <w:bCs/>
          <w:sz w:val="24"/>
          <w:szCs w:val="24"/>
          <w:lang w:eastAsia="es-CO"/>
        </w:rPr>
        <w:t>RECUERDE</w:t>
      </w:r>
      <w:r>
        <w:rPr>
          <w:rFonts w:ascii="Bookman Old Style" w:eastAsia="Times New Roman" w:hAnsi="Bookman Old Style" w:cs="Times New Roman"/>
          <w:sz w:val="24"/>
          <w:szCs w:val="24"/>
          <w:lang w:eastAsia="es-CO"/>
        </w:rPr>
        <w:t>.</w:t>
      </w:r>
    </w:p>
    <w:p w14:paraId="5266D0EE" w14:textId="77777777" w:rsidR="00477E98" w:rsidRPr="00DB2C2E" w:rsidRDefault="00477E98" w:rsidP="00477E98">
      <w:pPr>
        <w:spacing w:before="100" w:beforeAutospacing="1" w:after="100" w:afterAutospacing="1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es-CO"/>
        </w:rPr>
      </w:pP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Señor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consumidor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recuerde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en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caso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ser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demostrada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mala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fe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la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superintendencia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de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industria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y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comercio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podrá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imponer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sanciones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pecuniarias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hasta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por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50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salarios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mínimos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mensuales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legales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vigentes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 xml:space="preserve"> (</w:t>
      </w:r>
      <w:proofErr w:type="spellStart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smmlv</w:t>
      </w:r>
      <w:proofErr w:type="spellEnd"/>
      <w:r w:rsidRPr="00D15212">
        <w:rPr>
          <w:rFonts w:ascii="Bookman Old Style" w:eastAsia="Times New Roman" w:hAnsi="Bookman Old Style" w:cs="Times New Roman"/>
          <w:sz w:val="24"/>
          <w:szCs w:val="24"/>
          <w:lang w:eastAsia="es-CO"/>
        </w:rPr>
        <w:t>)</w:t>
      </w:r>
    </w:p>
    <w:p w14:paraId="4D6A1234" w14:textId="77777777" w:rsidR="00477E98" w:rsidRPr="00D64A8B" w:rsidRDefault="00477E98" w:rsidP="00477E98">
      <w:pPr>
        <w:jc w:val="both"/>
        <w:rPr>
          <w:rFonts w:ascii="Bookman Old Style" w:hAnsi="Bookman Old Style"/>
        </w:rPr>
      </w:pPr>
    </w:p>
    <w:p w14:paraId="73BA9F3C" w14:textId="407E923E" w:rsidR="0084170A" w:rsidRPr="00451CF1" w:rsidRDefault="0084170A" w:rsidP="00451CF1">
      <w:pPr>
        <w:jc w:val="both"/>
        <w:rPr>
          <w:rFonts w:ascii="Arial" w:hAnsi="Arial" w:cs="Arial"/>
        </w:rPr>
      </w:pPr>
    </w:p>
    <w:sectPr w:rsidR="0084170A" w:rsidRPr="00451CF1" w:rsidSect="009208D8">
      <w:headerReference w:type="default" r:id="rId8"/>
      <w:footerReference w:type="default" r:id="rId9"/>
      <w:pgSz w:w="12240" w:h="15840"/>
      <w:pgMar w:top="-3119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734AB" w14:textId="77777777" w:rsidR="00B57EE2" w:rsidRDefault="00B57EE2" w:rsidP="00DE7604">
      <w:pPr>
        <w:spacing w:after="0" w:line="240" w:lineRule="auto"/>
      </w:pPr>
      <w:r>
        <w:separator/>
      </w:r>
    </w:p>
  </w:endnote>
  <w:endnote w:type="continuationSeparator" w:id="0">
    <w:p w14:paraId="28511AC2" w14:textId="77777777" w:rsidR="00B57EE2" w:rsidRDefault="00B57EE2" w:rsidP="00DE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C68F" w14:textId="77777777" w:rsidR="00B01E9C" w:rsidRDefault="00B01E9C" w:rsidP="009208D8">
    <w:pPr>
      <w:pStyle w:val="Piedepgina"/>
      <w:ind w:left="-1701"/>
    </w:pPr>
    <w:r>
      <w:rPr>
        <w:noProof/>
      </w:rPr>
      <w:drawing>
        <wp:inline distT="0" distB="0" distL="0" distR="0" wp14:anchorId="01357E1F" wp14:editId="6CDEFA7D">
          <wp:extent cx="7776000" cy="699588"/>
          <wp:effectExtent l="0" t="0" r="0" b="5715"/>
          <wp:docPr id="266" name="Imagen 2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" name="Imagen 2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699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29B8A" w14:textId="77777777" w:rsidR="00B57EE2" w:rsidRDefault="00B57EE2" w:rsidP="00DE7604">
      <w:pPr>
        <w:spacing w:after="0" w:line="240" w:lineRule="auto"/>
      </w:pPr>
      <w:r>
        <w:separator/>
      </w:r>
    </w:p>
  </w:footnote>
  <w:footnote w:type="continuationSeparator" w:id="0">
    <w:p w14:paraId="59BA7ED6" w14:textId="77777777" w:rsidR="00B57EE2" w:rsidRDefault="00B57EE2" w:rsidP="00DE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10A5" w14:textId="706137FE" w:rsidR="00DE7604" w:rsidRDefault="00073D5F" w:rsidP="00073C06">
    <w:pPr>
      <w:pStyle w:val="Encabezado"/>
      <w:ind w:left="-1701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A7BA232" wp14:editId="2C7188FF">
              <wp:simplePos x="0" y="0"/>
              <wp:positionH relativeFrom="margin">
                <wp:posOffset>3253740</wp:posOffset>
              </wp:positionH>
              <wp:positionV relativeFrom="paragraph">
                <wp:posOffset>257175</wp:posOffset>
              </wp:positionV>
              <wp:extent cx="2956560" cy="27241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272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826955" w14:textId="77777777" w:rsidR="00073D5F" w:rsidRPr="00073D5F" w:rsidRDefault="00073D5F" w:rsidP="00073D5F">
                          <w:pPr>
                            <w:rPr>
                              <w:color w:val="FFFFFF" w:themeColor="background1"/>
                              <w:lang w:val="es-CO"/>
                            </w:rPr>
                          </w:pPr>
                          <w:r w:rsidRPr="00073D5F">
                            <w:rPr>
                              <w:color w:val="FFFFFF" w:themeColor="background1"/>
                            </w:rPr>
                            <w:t>(601) 766 6960 ext. 1114.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7BA23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56.2pt;margin-top:20.25pt;width:232.8pt;height:21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HT9wEAAM0DAAAOAAAAZHJzL2Uyb0RvYy54bWysU9Fu2yAUfZ+0f0C8L46tOG2sOFXXrtOk&#10;rpvU7QMwxjEacBmQ2NnX74LdNNrepvkBcX3h3HvOPWxvRq3IUTgvwdQ0XywpEYZDK82+pt+/Pby7&#10;psQHZlqmwIianoSnN7u3b7aDrUQBPahWOIIgxleDrWkfgq2yzPNeaOYXYIXBZAdOs4Ch22etYwOi&#10;a5UVy+U6G8C11gEX3uPf+ylJdwm/6wQPX7rOi0BUTbG3kFaX1iau2W7Lqr1jtpd8boP9QxeaSYNF&#10;z1D3LDBycPIvKC25Aw9dWHDQGXSd5CJxQDb58g82zz2zInFBcbw9y+T/Hyx/Oj7br46E8T2MOMBE&#10;wttH4D88MXDXM7MXt87B0AvWYuE8SpYN1lfz1Si1r3wEaYbP0OKQ2SFAAho7p6MqyJMgOg7gdBZd&#10;jIFw/FlsynW5xhTHXHFVrPIylWDVy23rfPgoQJO4qanDoSZ0dnz0IXbDqpcjsZiBB6lUGqwyZKjp&#10;pizKdOEio2VA3ympa3q9jN/khEjyg2nT5cCkmvZYQJmZdSQ6UQ5jM+LByL6B9oT8HUz+wveAmx7c&#10;L0oG9FZN/c8Dc4IS9cmghpt8tYpmTMGqvCowcJeZ5jLDDEeomgZKpu1dSAaeuN6i1p1MMrx2MveK&#10;nknqzP6OpryM06nXV7j7DQAA//8DAFBLAwQUAAYACAAAACEAYBoV+t4AAAAJAQAADwAAAGRycy9k&#10;b3ducmV2LnhtbEyPy07DMBBF90j8gzVI7KjdkkAaMqkQiC2o5SGxc5NpEhGPo9htwt8zrGA5mqN7&#10;zy02s+vVicbQeUZYLgwo4srXHTcIb69PVxmoEC3XtvdMCN8UYFOenxU2r/3EWzrtYqMkhENuEdoY&#10;h1zrULXkbFj4gVh+Bz86G+UcG12PdpJw1+uVMTfa2Y6lobUDPbRUfe2ODuH9+fD5kZiX5tGlw+Rn&#10;o9mtNeLlxXx/ByrSHP9g+NUXdSjFae+PXAfVI6TLVSIoQmJSUAKsbzMZt0fIrhPQZaH/Lyh/AAAA&#10;//8DAFBLAQItABQABgAIAAAAIQC2gziS/gAAAOEBAAATAAAAAAAAAAAAAAAAAAAAAABbQ29udGVu&#10;dF9UeXBlc10ueG1sUEsBAi0AFAAGAAgAAAAhADj9If/WAAAAlAEAAAsAAAAAAAAAAAAAAAAALwEA&#10;AF9yZWxzLy5yZWxzUEsBAi0AFAAGAAgAAAAhAI6dQdP3AQAAzQMAAA4AAAAAAAAAAAAAAAAALgIA&#10;AGRycy9lMm9Eb2MueG1sUEsBAi0AFAAGAAgAAAAhAGAaFfreAAAACQEAAA8AAAAAAAAAAAAAAAAA&#10;UQQAAGRycy9kb3ducmV2LnhtbFBLBQYAAAAABAAEAPMAAABcBQAAAAA=&#10;" filled="f" stroked="f">
              <v:textbox>
                <w:txbxContent>
                  <w:p w14:paraId="67826955" w14:textId="77777777" w:rsidR="00073D5F" w:rsidRPr="00073D5F" w:rsidRDefault="00073D5F" w:rsidP="00073D5F">
                    <w:pPr>
                      <w:rPr>
                        <w:color w:val="FFFFFF" w:themeColor="background1"/>
                        <w:lang w:val="es-CO"/>
                      </w:rPr>
                    </w:pPr>
                    <w:r w:rsidRPr="00073D5F">
                      <w:rPr>
                        <w:color w:val="FFFFFF" w:themeColor="background1"/>
                      </w:rPr>
                      <w:t>(601) 766 6960 ext. 1114.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48974EA" wp14:editId="15A9C183">
              <wp:simplePos x="0" y="0"/>
              <wp:positionH relativeFrom="margin">
                <wp:posOffset>3253740</wp:posOffset>
              </wp:positionH>
              <wp:positionV relativeFrom="paragraph">
                <wp:posOffset>624205</wp:posOffset>
              </wp:positionV>
              <wp:extent cx="2956560" cy="272415"/>
              <wp:effectExtent l="0" t="0" r="0" b="0"/>
              <wp:wrapNone/>
              <wp:docPr id="26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272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0FCBFB" w14:textId="77777777" w:rsidR="00073D5F" w:rsidRPr="00073D5F" w:rsidRDefault="00073D5F" w:rsidP="00073D5F">
                          <w:pPr>
                            <w:rPr>
                              <w:color w:val="FFFFFF" w:themeColor="background1"/>
                              <w:lang w:val="es-CO"/>
                            </w:rPr>
                          </w:pPr>
                          <w:proofErr w:type="spellStart"/>
                          <w:r w:rsidRPr="00073D5F">
                            <w:rPr>
                              <w:color w:val="FFFFFF" w:themeColor="background1"/>
                              <w:lang w:val="es-CO"/>
                            </w:rPr>
                            <w:t>Cll</w:t>
                          </w:r>
                          <w:proofErr w:type="spellEnd"/>
                          <w:r w:rsidRPr="00073D5F">
                            <w:rPr>
                              <w:color w:val="FFFFFF" w:themeColor="background1"/>
                              <w:lang w:val="es-CO"/>
                            </w:rPr>
                            <w:t xml:space="preserve"> 91 sur 1f - 09 / Comuneros sur.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8974EA" id="_x0000_s1027" type="#_x0000_t202" style="position:absolute;left:0;text-align:left;margin-left:256.2pt;margin-top:49.15pt;width:232.8pt;height:2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V1+gEAANQDAAAOAAAAZHJzL2Uyb0RvYy54bWysU9Fu2yAUfZ+0f0C8L46tOG2sOFXXrtOk&#10;rpvU7QMwxjEacBmQ2NnX74LdNNrepvkBcbnm3HvOPWxvRq3IUTgvwdQ0XywpEYZDK82+pt+/Pby7&#10;psQHZlqmwIianoSnN7u3b7aDrUQBPahWOIIgxleDrWkfgq2yzPNeaOYXYIXBZAdOs4Ch22etYwOi&#10;a5UVy+U6G8C11gEX3uPp/ZSku4TfdYKHL13nRSCqpthbSKtLaxPXbLdl1d4x20s+t8H+oQvNpMGi&#10;Z6h7Fhg5OPkXlJbcgYcuLDjoDLpOcpE4IJt8+Qeb555ZkbigON6eZfL/D5Y/HZ/tV0fC+B5GHGAi&#10;4e0j8B+eGLjrmdmLW+dg6AVrsXAeJcsG66v5apTaVz6CNMNnaHHI7BAgAY2d01EV5EkQHQdwOosu&#10;xkA4Hhabcl2uMcUxV1wVq7xMJVj1cts6Hz4K0CRuaupwqAmdHR99iN2w6uWXWMzAg1QqDVYZMtR0&#10;UxZlunCR0TKg75TUNb1exm9yQiT5wbTpcmBSTXssoMzMOhKdKIexGYlsZ0miCA20J5TBwWQzfBa4&#10;6cH9omRAi9XU/zwwJyhRnwxKuclXq+jJFKzKqwIDd5lpLjPMcISqaaBk2t6F5OOJ8i1K3smkxmsn&#10;c8tonSTSbPPozcs4/fX6GHe/AQAA//8DAFBLAwQUAAYACAAAACEAJ2QBeN4AAAAKAQAADwAAAGRy&#10;cy9kb3ducmV2LnhtbEyPy07DMBBF90j8gzVI7KidkEIS4lQIxBbU8pDYufE0iYjHUew24e8ZVrAc&#10;zdG951abxQ3ihFPoPWlIVgoEUuNtT62Gt9enqxxEiIasGTyhhm8MsKnPzypTWj/TFk+72AoOoVAa&#10;DV2MYyllaDp0Jqz8iMS/g5+ciXxOrbSTmTncDTJV6kY60xM3dGbEhw6br93RaXh/Pnx+ZOqlfXTr&#10;cfaLkuQKqfXlxXJ/ByLiEv9g+NVndajZae+PZIMYNKyTNGNUQ5Ffg2CguM153J7JLElB1pX8P6H+&#10;AQAA//8DAFBLAQItABQABgAIAAAAIQC2gziS/gAAAOEBAAATAAAAAAAAAAAAAAAAAAAAAABbQ29u&#10;dGVudF9UeXBlc10ueG1sUEsBAi0AFAAGAAgAAAAhADj9If/WAAAAlAEAAAsAAAAAAAAAAAAAAAAA&#10;LwEAAF9yZWxzLy5yZWxzUEsBAi0AFAAGAAgAAAAhAJBhtXX6AQAA1AMAAA4AAAAAAAAAAAAAAAAA&#10;LgIAAGRycy9lMm9Eb2MueG1sUEsBAi0AFAAGAAgAAAAhACdkAXjeAAAACgEAAA8AAAAAAAAAAAAA&#10;AAAAVAQAAGRycy9kb3ducmV2LnhtbFBLBQYAAAAABAAEAPMAAABfBQAAAAA=&#10;" filled="f" stroked="f">
              <v:textbox>
                <w:txbxContent>
                  <w:p w14:paraId="110FCBFB" w14:textId="77777777" w:rsidR="00073D5F" w:rsidRPr="00073D5F" w:rsidRDefault="00073D5F" w:rsidP="00073D5F">
                    <w:pPr>
                      <w:rPr>
                        <w:color w:val="FFFFFF" w:themeColor="background1"/>
                        <w:lang w:val="es-CO"/>
                      </w:rPr>
                    </w:pPr>
                    <w:proofErr w:type="spellStart"/>
                    <w:r w:rsidRPr="00073D5F">
                      <w:rPr>
                        <w:color w:val="FFFFFF" w:themeColor="background1"/>
                        <w:lang w:val="es-CO"/>
                      </w:rPr>
                      <w:t>Cll</w:t>
                    </w:r>
                    <w:proofErr w:type="spellEnd"/>
                    <w:r w:rsidRPr="00073D5F">
                      <w:rPr>
                        <w:color w:val="FFFFFF" w:themeColor="background1"/>
                        <w:lang w:val="es-CO"/>
                      </w:rPr>
                      <w:t xml:space="preserve"> 91 sur 1f - 09 / Comuneros sur.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2BE4005" wp14:editId="5B70E90F">
              <wp:simplePos x="0" y="0"/>
              <wp:positionH relativeFrom="margin">
                <wp:posOffset>3253740</wp:posOffset>
              </wp:positionH>
              <wp:positionV relativeFrom="paragraph">
                <wp:posOffset>991235</wp:posOffset>
              </wp:positionV>
              <wp:extent cx="2956560" cy="272415"/>
              <wp:effectExtent l="0" t="0" r="0" b="0"/>
              <wp:wrapNone/>
              <wp:docPr id="26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272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11774" w14:textId="77777777" w:rsidR="00073D5F" w:rsidRPr="00073D5F" w:rsidRDefault="00073D5F" w:rsidP="00073D5F">
                          <w:pPr>
                            <w:rPr>
                              <w:color w:val="FFFFFF" w:themeColor="background1"/>
                              <w:lang w:val="es-CO"/>
                            </w:rPr>
                          </w:pPr>
                          <w:r w:rsidRPr="00073D5F">
                            <w:rPr>
                              <w:color w:val="FFFFFF" w:themeColor="background1"/>
                            </w:rPr>
                            <w:t>ghmaluvi@gmail.com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BE4005" id="_x0000_s1028" type="#_x0000_t202" style="position:absolute;left:0;text-align:left;margin-left:256.2pt;margin-top:78.05pt;width:232.8pt;height:21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3e0+wEAANQDAAAOAAAAZHJzL2Uyb0RvYy54bWysU9Fu2yAUfZ+0f0C8L46tOG2sOFXXrtOk&#10;rpvU7QMwxjEacBmQ2NnX74LdNNrepvkBAdf33HvOPWxvRq3IUTgvwdQ0XywpEYZDK82+pt+/Pby7&#10;psQHZlqmwIianoSnN7u3b7aDrUQBPahWOIIgxleDrWkfgq2yzPNeaOYXYIXBYAdOs4BHt89axwZE&#10;1yorlst1NoBrrQMuvMfb+ylIdwm/6wQPX7rOi0BUTbG3kFaX1iau2W7Lqr1jtpd8boP9QxeaSYNF&#10;z1D3LDBycPIvKC25Aw9dWHDQGXSd5CJxQDb58g82zz2zInFBcbw9y+T/Hyx/Oj7br46E8T2MOMBE&#10;wttH4D88MXDXM7MXt87B0AvWYuE8SpYN1ldzapTaVz6CNMNnaHHI7BAgAY2d01EV5EkQHQdwOosu&#10;xkA4Xhabcl2uMcQxVlwVq7xMJVj1km2dDx8FaBI3NXU41ITOjo8+xG5Y9fJLLGbgQSqVBqsMGWq6&#10;KYsyJVxEtAzoOyV1Ta+X8ZucEEl+MG1KDkyqaY8FlJlZR6IT5TA2I5EtNh1zowgNtCeUwcFkM3wW&#10;uOnB/aJkQIvV1P88MCcoUZ8MSrnJV6voyXRYlVcFHtxlpLmMMMMRqqaBkml7F5KPJ8q3KHknkxqv&#10;ncwto3WSSLPNozcvz+mv18e4+w0AAP//AwBQSwMEFAAGAAgAAAAhAABzzMXfAAAACwEAAA8AAABk&#10;cnMvZG93bnJldi54bWxMj81OwzAQhO9IfQdrK3GjdqqmNCFOVRVxBVF+JG5uvE0i4nUUu014e5YT&#10;Pe7Mp9mZYju5TlxwCK0nDclCgUCqvG2p1vD+9nS3ARGiIWs6T6jhBwNsy9lNYXLrR3rFyyHWgkMo&#10;5EZDE2OfSxmqBp0JC98jsXfygzORz6GWdjAjh7tOLpVaS2da4g+N6XHfYPV9ODsNH8+nr8+Veqkf&#10;XdqPflKSXCa1vp1PuwcQEaf4D8Nffa4OJXc6+jPZIDoNabJcMcpGuk5AMJHdb3jdkZUsUyDLQl5v&#10;KH8BAAD//wMAUEsBAi0AFAAGAAgAAAAhALaDOJL+AAAA4QEAABMAAAAAAAAAAAAAAAAAAAAAAFtD&#10;b250ZW50X1R5cGVzXS54bWxQSwECLQAUAAYACAAAACEAOP0h/9YAAACUAQAACwAAAAAAAAAAAAAA&#10;AAAvAQAAX3JlbHMvLnJlbHNQSwECLQAUAAYACAAAACEAp793tPsBAADUAwAADgAAAAAAAAAAAAAA&#10;AAAuAgAAZHJzL2Uyb0RvYy54bWxQSwECLQAUAAYACAAAACEAAHPMxd8AAAALAQAADwAAAAAAAAAA&#10;AAAAAABVBAAAZHJzL2Rvd25yZXYueG1sUEsFBgAAAAAEAAQA8wAAAGEFAAAAAA==&#10;" filled="f" stroked="f">
              <v:textbox>
                <w:txbxContent>
                  <w:p w14:paraId="26111774" w14:textId="77777777" w:rsidR="00073D5F" w:rsidRPr="00073D5F" w:rsidRDefault="00073D5F" w:rsidP="00073D5F">
                    <w:pPr>
                      <w:rPr>
                        <w:color w:val="FFFFFF" w:themeColor="background1"/>
                        <w:lang w:val="es-CO"/>
                      </w:rPr>
                    </w:pPr>
                    <w:r w:rsidRPr="00073D5F">
                      <w:rPr>
                        <w:color w:val="FFFFFF" w:themeColor="background1"/>
                      </w:rPr>
                      <w:t>ghmaluvi@gmail.com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73C06">
      <w:rPr>
        <w:noProof/>
      </w:rPr>
      <w:drawing>
        <wp:inline distT="0" distB="0" distL="0" distR="0" wp14:anchorId="2C65CC41" wp14:editId="79675433">
          <wp:extent cx="7860639" cy="3800580"/>
          <wp:effectExtent l="0" t="0" r="7620" b="0"/>
          <wp:docPr id="265" name="Imagen 2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" name="Imagen 2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0639" cy="380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46B2"/>
    <w:multiLevelType w:val="hybridMultilevel"/>
    <w:tmpl w:val="A0EC0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A666E"/>
    <w:multiLevelType w:val="hybridMultilevel"/>
    <w:tmpl w:val="A3A8F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45E2F"/>
    <w:multiLevelType w:val="hybridMultilevel"/>
    <w:tmpl w:val="EBCC8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E7192"/>
    <w:multiLevelType w:val="hybridMultilevel"/>
    <w:tmpl w:val="9C4A5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F106C"/>
    <w:multiLevelType w:val="multilevel"/>
    <w:tmpl w:val="5AE4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010D56"/>
    <w:multiLevelType w:val="hybridMultilevel"/>
    <w:tmpl w:val="71F68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F7E8B"/>
    <w:multiLevelType w:val="hybridMultilevel"/>
    <w:tmpl w:val="A0EC0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26BDC"/>
    <w:multiLevelType w:val="hybridMultilevel"/>
    <w:tmpl w:val="70A87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378F2"/>
    <w:multiLevelType w:val="hybridMultilevel"/>
    <w:tmpl w:val="71F68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2032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27169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5367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2074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4963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08643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21684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17840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76695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604"/>
    <w:rsid w:val="00073C06"/>
    <w:rsid w:val="00073D5F"/>
    <w:rsid w:val="00300C51"/>
    <w:rsid w:val="00451CF1"/>
    <w:rsid w:val="00477E98"/>
    <w:rsid w:val="005F3D10"/>
    <w:rsid w:val="00670AFB"/>
    <w:rsid w:val="00670BCF"/>
    <w:rsid w:val="007362B1"/>
    <w:rsid w:val="00772791"/>
    <w:rsid w:val="0084170A"/>
    <w:rsid w:val="009208D8"/>
    <w:rsid w:val="00B01E9C"/>
    <w:rsid w:val="00B116BB"/>
    <w:rsid w:val="00B52C50"/>
    <w:rsid w:val="00B57EE2"/>
    <w:rsid w:val="00BA728A"/>
    <w:rsid w:val="00D23C82"/>
    <w:rsid w:val="00DB09C2"/>
    <w:rsid w:val="00DE7604"/>
    <w:rsid w:val="00E11A3E"/>
    <w:rsid w:val="00E13DB4"/>
    <w:rsid w:val="00F8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DDC47"/>
  <w15:chartTrackingRefBased/>
  <w15:docId w15:val="{9A5B439B-B8C9-412F-B93D-B87422C6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451CF1"/>
    <w:pPr>
      <w:widowControl w:val="0"/>
      <w:autoSpaceDE w:val="0"/>
      <w:autoSpaceDN w:val="0"/>
      <w:spacing w:after="0" w:line="240" w:lineRule="auto"/>
      <w:ind w:left="462" w:hanging="360"/>
      <w:outlineLvl w:val="0"/>
    </w:pPr>
    <w:rPr>
      <w:rFonts w:ascii="Carlito" w:eastAsia="Carlito" w:hAnsi="Carlito" w:cs="Carlito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76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04"/>
  </w:style>
  <w:style w:type="paragraph" w:styleId="Piedepgina">
    <w:name w:val="footer"/>
    <w:basedOn w:val="Normal"/>
    <w:link w:val="PiedepginaCar"/>
    <w:uiPriority w:val="99"/>
    <w:unhideWhenUsed/>
    <w:rsid w:val="00DE76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04"/>
  </w:style>
  <w:style w:type="character" w:styleId="Hipervnculo">
    <w:name w:val="Hyperlink"/>
    <w:basedOn w:val="Fuentedeprrafopredeter"/>
    <w:uiPriority w:val="99"/>
    <w:unhideWhenUsed/>
    <w:rsid w:val="00D23C82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D23C82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51CF1"/>
    <w:rPr>
      <w:rFonts w:ascii="Carlito" w:eastAsia="Carlito" w:hAnsi="Carlito" w:cs="Carlito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451CF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51CF1"/>
    <w:rPr>
      <w:rFonts w:ascii="Carlito" w:eastAsia="Carlito" w:hAnsi="Carlito" w:cs="Carlito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451CF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DB14E-8D61-41A8-B1A1-EA967A05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925</Words>
  <Characters>5090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</dc:creator>
  <cp:keywords/>
  <dc:description/>
  <cp:lastModifiedBy>Mendez</cp:lastModifiedBy>
  <cp:revision>8</cp:revision>
  <cp:lastPrinted>2023-08-30T18:31:00Z</cp:lastPrinted>
  <dcterms:created xsi:type="dcterms:W3CDTF">2023-08-30T18:16:00Z</dcterms:created>
  <dcterms:modified xsi:type="dcterms:W3CDTF">2023-12-13T20:45:00Z</dcterms:modified>
</cp:coreProperties>
</file>